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22" w:rsidRPr="00E33211" w:rsidRDefault="00291EB4" w:rsidP="00E33211">
      <w:pPr>
        <w:jc w:val="center"/>
        <w:rPr>
          <w:rFonts w:ascii="Arial Tat" w:eastAsia="Times New Roman" w:hAnsi="Arial Tat" w:cs="Times New Roman"/>
          <w:b/>
          <w:sz w:val="24"/>
          <w:szCs w:val="24"/>
          <w:lang w:eastAsia="ru-RU"/>
        </w:rPr>
      </w:pPr>
      <w:proofErr w:type="gramStart"/>
      <w:r w:rsidRPr="00E33211">
        <w:rPr>
          <w:rFonts w:ascii="Arial Tat" w:eastAsia="Times New Roman" w:hAnsi="Arial Tat" w:cs="Times New Roman"/>
          <w:b/>
          <w:sz w:val="24"/>
          <w:szCs w:val="24"/>
          <w:lang w:eastAsia="ru-RU"/>
        </w:rPr>
        <w:t>Контроль за</w:t>
      </w:r>
      <w:proofErr w:type="gramEnd"/>
      <w:r w:rsidRPr="00E33211">
        <w:rPr>
          <w:rFonts w:ascii="Arial Tat" w:eastAsia="Times New Roman" w:hAnsi="Arial Tat" w:cs="Times New Roman"/>
          <w:b/>
          <w:sz w:val="24"/>
          <w:szCs w:val="24"/>
          <w:lang w:eastAsia="ru-RU"/>
        </w:rPr>
        <w:t xml:space="preserve"> соблюдением законодательства об Архивном фонде </w:t>
      </w:r>
      <w:r w:rsidR="00E33211" w:rsidRPr="00E33211">
        <w:rPr>
          <w:rFonts w:ascii="Arial Tat" w:eastAsia="Times New Roman" w:hAnsi="Arial Tat" w:cs="Times New Roman"/>
          <w:b/>
          <w:sz w:val="24"/>
          <w:szCs w:val="24"/>
          <w:lang w:eastAsia="ru-RU"/>
        </w:rPr>
        <w:br/>
      </w:r>
      <w:r w:rsidRPr="00E33211">
        <w:rPr>
          <w:rFonts w:ascii="Arial Tat" w:eastAsia="Times New Roman" w:hAnsi="Arial Tat" w:cs="Times New Roman"/>
          <w:b/>
          <w:sz w:val="24"/>
          <w:szCs w:val="24"/>
          <w:lang w:eastAsia="ru-RU"/>
        </w:rPr>
        <w:t>Республики Татарстан и архивах за 2013 г.</w:t>
      </w:r>
    </w:p>
    <w:p w:rsidR="00E33211" w:rsidRPr="00E33211" w:rsidRDefault="00E33211" w:rsidP="00E33211">
      <w:pPr>
        <w:spacing w:after="0" w:line="240" w:lineRule="auto"/>
        <w:jc w:val="both"/>
        <w:rPr>
          <w:rFonts w:ascii="Arial Tat" w:eastAsia="Times New Roman" w:hAnsi="Arial Tat" w:cs="Times New Roman"/>
          <w:sz w:val="20"/>
          <w:szCs w:val="20"/>
          <w:lang w:val="en-US" w:eastAsia="ru-RU"/>
        </w:rPr>
      </w:pPr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В 2013 году проведено десять плановых выездных проверок состояния архивного дела, обеспечения сохранности, учета и использования архивных документов, четырнадцать внеплановых проверок: восемь выездных проверки, шесть документарных проверок об исполнении предписаний. </w:t>
      </w:r>
      <w:proofErr w:type="gramStart"/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>Плановые выездные проверки проведены в ГУ «Территориальный фонд обязательного медицинского страхования Республики Татарстан», ГАУЗ «Детская республиканская клиническая больница Министерства здравоохранения Республики Татарстан», ГАУЗ «Республиканская клиническая больница Министерства здравоохранения Республики Татарстан», Министерство по делам гражданской обороны и чрезвычайных ситуаций Республики Татарстан», Министерство труда, занятости и социальной защиты Республики Татарстан», ГБУК РТ «Татарская государственная филармония им. Г. Тукая», ГУ «Институт языка, литературы</w:t>
      </w:r>
      <w:proofErr w:type="gramEnd"/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 и искусства им. Г. Ибрагимова», Государственная инспекция РТ по обеспечению государственного </w:t>
      </w:r>
      <w:proofErr w:type="gramStart"/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>контроля за</w:t>
      </w:r>
      <w:proofErr w:type="gramEnd"/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 производством, оборотом и качеством этилового спирта, алкогольной продукции и защите прав потребителей, Финансово-бюджетная палата </w:t>
      </w:r>
      <w:proofErr w:type="spellStart"/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>Елабужского</w:t>
      </w:r>
      <w:proofErr w:type="spellEnd"/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 муниципального района РТ. Проверен архивный отдел исполнительного комитета </w:t>
      </w:r>
      <w:proofErr w:type="spellStart"/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>Тетюшского</w:t>
      </w:r>
      <w:proofErr w:type="spellEnd"/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 муниципального района, в том числе по исполнению государственных полномочий. </w:t>
      </w:r>
    </w:p>
    <w:p w:rsidR="00E33211" w:rsidRDefault="00E33211" w:rsidP="00E33211">
      <w:pPr>
        <w:spacing w:after="0" w:line="240" w:lineRule="auto"/>
        <w:jc w:val="both"/>
        <w:rPr>
          <w:rFonts w:ascii="Arial Tat" w:eastAsia="Times New Roman" w:hAnsi="Arial Tat" w:cs="Times New Roman"/>
          <w:sz w:val="20"/>
          <w:szCs w:val="20"/>
          <w:lang w:val="en-US" w:eastAsia="ru-RU"/>
        </w:rPr>
      </w:pPr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По итогам плановых выездных проверок составлено десять актов, выдано четыре предписания об устранении нарушений, выявленных в ходе инспекторской проверки. </w:t>
      </w:r>
      <w:proofErr w:type="gramStart"/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Нарушены статьи 15 ч. 1, 17 ч.1, 22 ч. 2, 23 ч. 2 Федерального закона «Об архивном деле в Российской Федерации» № 125-ФЗ от 22.10.2004, статьи 15, 16 Закона РТ «Об Архивном фонде РТ и архивах» № 644 от 13.06.1996 (в редакции от 28.07.2006 № 63-ЗРТ) – обеспечение сохранности, отбор, подготовка и передача архивных документов на хранение в государственные и муниципальные архивы РТ. </w:t>
      </w:r>
      <w:proofErr w:type="gramEnd"/>
    </w:p>
    <w:p w:rsidR="00E33211" w:rsidRDefault="00E33211" w:rsidP="00E33211">
      <w:pPr>
        <w:spacing w:after="0" w:line="240" w:lineRule="auto"/>
        <w:jc w:val="both"/>
        <w:rPr>
          <w:rFonts w:ascii="Arial Tat" w:eastAsia="Times New Roman" w:hAnsi="Arial Tat" w:cs="Times New Roman"/>
          <w:sz w:val="20"/>
          <w:szCs w:val="20"/>
          <w:lang w:val="en-US" w:eastAsia="ru-RU"/>
        </w:rPr>
      </w:pPr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Предписания выданы ГАУЗ «Детская республиканская клиническая больница Министерства здравоохранения РТ», ГАУЗ «Республиканская клиническая больница Министерства здравоохранения РТ», Финансово-бюджетной палате </w:t>
      </w:r>
      <w:proofErr w:type="spellStart"/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>Елабужского</w:t>
      </w:r>
      <w:proofErr w:type="spellEnd"/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 муниципального района, ГБУК РТ «Татарская государственная филармония им. Г. Тукая». </w:t>
      </w:r>
    </w:p>
    <w:p w:rsidR="00E33211" w:rsidRDefault="00E33211" w:rsidP="00E33211">
      <w:pPr>
        <w:spacing w:after="0" w:line="240" w:lineRule="auto"/>
        <w:jc w:val="both"/>
        <w:rPr>
          <w:rFonts w:ascii="Arial Tat" w:eastAsia="Times New Roman" w:hAnsi="Arial Tat" w:cs="Times New Roman"/>
          <w:sz w:val="20"/>
          <w:szCs w:val="20"/>
          <w:lang w:val="en-US" w:eastAsia="ru-RU"/>
        </w:rPr>
      </w:pPr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Проведено всего четырнадцать внеплановых проверок: восемь выездных и шесть документарных проверок об исполнении предписания. Всего составлено семь протоколов об административном правонарушении. Шесть протоколов об административном правонарушении составлено по ст. 19.5 ч.1 на юридические лица: </w:t>
      </w:r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br/>
      </w:r>
      <w:proofErr w:type="gramStart"/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Казанский филиал ФБОУ ВПО «Волжская государственная академия водного транспорта»; </w:t>
      </w:r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br/>
        <w:t xml:space="preserve">Министерство образования и науки РТ (повторно, постановление суда в мае, второй протокол составлен в декабре); </w:t>
      </w:r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br/>
        <w:t xml:space="preserve">ГБУ РТ «Учебно-опытный Пригородный лесхоз»; </w:t>
      </w:r>
      <w:proofErr w:type="gramEnd"/>
    </w:p>
    <w:p w:rsidR="00E33211" w:rsidRDefault="00E33211" w:rsidP="00E33211">
      <w:pPr>
        <w:spacing w:after="0" w:line="240" w:lineRule="auto"/>
        <w:jc w:val="both"/>
        <w:rPr>
          <w:rFonts w:ascii="Arial Tat" w:eastAsia="Times New Roman" w:hAnsi="Arial Tat" w:cs="Times New Roman"/>
          <w:sz w:val="20"/>
          <w:szCs w:val="20"/>
          <w:lang w:val="en-US" w:eastAsia="ru-RU"/>
        </w:rPr>
      </w:pPr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ГАОУ СПО «Казанское художественное училище им. Н.И. </w:t>
      </w:r>
      <w:proofErr w:type="spellStart"/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>Фешина</w:t>
      </w:r>
      <w:proofErr w:type="spellEnd"/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>» (техникум) (штрафовали дважды – постановление суда в феврале и в августе);</w:t>
      </w:r>
    </w:p>
    <w:p w:rsidR="00E33211" w:rsidRPr="00E33211" w:rsidRDefault="00E33211" w:rsidP="00E33211">
      <w:pPr>
        <w:spacing w:after="0" w:line="240" w:lineRule="auto"/>
        <w:jc w:val="both"/>
        <w:rPr>
          <w:rFonts w:ascii="Arial Tat" w:eastAsia="Times New Roman" w:hAnsi="Arial Tat" w:cs="Times New Roman"/>
          <w:sz w:val="20"/>
          <w:szCs w:val="20"/>
          <w:lang w:eastAsia="ru-RU"/>
        </w:rPr>
      </w:pPr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Исполнительный комитет </w:t>
      </w:r>
      <w:proofErr w:type="spellStart"/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>Высокогорского</w:t>
      </w:r>
      <w:proofErr w:type="spellEnd"/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 муниципального района РТ.</w:t>
      </w:r>
    </w:p>
    <w:p w:rsidR="00E33211" w:rsidRDefault="00E33211" w:rsidP="00E33211">
      <w:pPr>
        <w:spacing w:after="0" w:line="240" w:lineRule="auto"/>
        <w:jc w:val="both"/>
        <w:rPr>
          <w:rFonts w:ascii="Arial Tat" w:eastAsia="Times New Roman" w:hAnsi="Arial Tat" w:cs="Times New Roman"/>
          <w:sz w:val="20"/>
          <w:szCs w:val="20"/>
          <w:lang w:val="en-US" w:eastAsia="ru-RU"/>
        </w:rPr>
      </w:pPr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Один протокол составлен по статье 19.6 «Непринятие мер по устранению причин и условий, способствовавших совершению административного правонарушения» на директора ГАОУ СПО «Казанское художественное училища им. Н. И. </w:t>
      </w:r>
      <w:proofErr w:type="spellStart"/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>Фешина</w:t>
      </w:r>
      <w:proofErr w:type="spellEnd"/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» (техникум). </w:t>
      </w:r>
    </w:p>
    <w:p w:rsidR="00E33211" w:rsidRDefault="00E33211" w:rsidP="00E33211">
      <w:pPr>
        <w:spacing w:after="0" w:line="240" w:lineRule="auto"/>
        <w:jc w:val="both"/>
        <w:rPr>
          <w:rFonts w:ascii="Arial Tat" w:eastAsia="Times New Roman" w:hAnsi="Arial Tat" w:cs="Times New Roman"/>
          <w:sz w:val="20"/>
          <w:szCs w:val="20"/>
          <w:lang w:val="en-US" w:eastAsia="ru-RU"/>
        </w:rPr>
      </w:pPr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Казанский филиал ФБОУ ВПО «Волжская государственная академия водного транспорта», Министерство образования и науки РТ, ГБУ РТ «Учебно-опытный Пригородный лесхоз», ГАОУ </w:t>
      </w:r>
      <w:proofErr w:type="gramStart"/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>СПО РТ</w:t>
      </w:r>
      <w:proofErr w:type="gramEnd"/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 «Казанское художественное училище им. Н.И. </w:t>
      </w:r>
      <w:proofErr w:type="spellStart"/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>Фешина</w:t>
      </w:r>
      <w:proofErr w:type="spellEnd"/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» оштрафованы на 10 000 руб., каждый. По статье 19.6 директор художественного училища оштрафован на 4 000 рублей. Исполнительному комитету </w:t>
      </w:r>
      <w:proofErr w:type="spellStart"/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>Высокогорского</w:t>
      </w:r>
      <w:proofErr w:type="spellEnd"/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 муниципального района объявлено устное замечание. Оштрафовано художественное училище на 10 000 руб., переходящее с 2012 года (протокол составлен в декабре, а постановление в феврале). Протокол (№ 7 от 16.12.2013) на Министерство образования и науки РТ находится рассмотрении у мирового судьи </w:t>
      </w:r>
      <w:proofErr w:type="spellStart"/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>Вахитовского</w:t>
      </w:r>
      <w:proofErr w:type="spellEnd"/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 района г. Казани, участок № 1. Итого на сегодняшний день штрафов 54 000 рублей. </w:t>
      </w:r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br/>
        <w:t xml:space="preserve">По итогам внеплановых проверок: </w:t>
      </w:r>
    </w:p>
    <w:p w:rsidR="00E33211" w:rsidRDefault="00E33211" w:rsidP="00E33211">
      <w:pPr>
        <w:spacing w:after="0" w:line="240" w:lineRule="auto"/>
        <w:jc w:val="both"/>
        <w:rPr>
          <w:rFonts w:ascii="Arial Tat" w:eastAsia="Times New Roman" w:hAnsi="Arial Tat" w:cs="Times New Roman"/>
          <w:sz w:val="20"/>
          <w:szCs w:val="20"/>
          <w:lang w:val="en-US" w:eastAsia="ru-RU"/>
        </w:rPr>
      </w:pPr>
      <w:proofErr w:type="gramStart"/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>в четырёх организациях проведено упорядочение дел постоянного хранения, в пяти дел по личному составу, в трёх личных дел уволенных сотрудников, в одной личных дел отчисленных студентов, в дух личных дел окончивших студентов, шесть организации передали дела постоянного хранения в Национальный архив РТ на хранение, в одной организации выделено помещение под архивохранилище, в одной организации приобретены металлические шкафы, в двух приобретены</w:t>
      </w:r>
      <w:proofErr w:type="gramEnd"/>
      <w:r w:rsidRPr="00E33211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 приборы для измерения температурно-влажностного режима, в одной организации проведена охранно-пожарная сигнализация и установлена противопожарная дверь в архивохранилище. </w:t>
      </w:r>
    </w:p>
    <w:p w:rsidR="00E33211" w:rsidRPr="00E33211" w:rsidRDefault="00E33211" w:rsidP="00E33211">
      <w:pPr>
        <w:spacing w:before="100" w:beforeAutospacing="1" w:after="240" w:line="240" w:lineRule="auto"/>
        <w:jc w:val="both"/>
        <w:rPr>
          <w:rFonts w:ascii="Arial Tat" w:eastAsia="Times New Roman" w:hAnsi="Arial Tat" w:cs="Times New Roman"/>
          <w:sz w:val="20"/>
          <w:szCs w:val="20"/>
          <w:lang w:eastAsia="ru-RU"/>
        </w:rPr>
      </w:pPr>
    </w:p>
    <w:tbl>
      <w:tblPr>
        <w:tblpPr w:leftFromText="45" w:rightFromText="45" w:vertAnchor="text" w:tblpXSpec="right" w:tblpYSpec="center"/>
        <w:tblW w:w="3000" w:type="dxa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E33211" w:rsidRPr="00E33211">
        <w:trPr>
          <w:tblCellSpacing w:w="75" w:type="dxa"/>
        </w:trPr>
        <w:tc>
          <w:tcPr>
            <w:tcW w:w="0" w:type="auto"/>
            <w:vAlign w:val="center"/>
            <w:hideMark/>
          </w:tcPr>
          <w:p w:rsidR="00E33211" w:rsidRPr="00E33211" w:rsidRDefault="00E33211" w:rsidP="00E33211">
            <w:pPr>
              <w:spacing w:after="0" w:line="240" w:lineRule="auto"/>
              <w:rPr>
                <w:rFonts w:ascii="Arial Tat" w:eastAsia="Times New Roman" w:hAnsi="Arial Tat" w:cs="Times New Roman"/>
                <w:sz w:val="20"/>
                <w:szCs w:val="20"/>
                <w:lang w:eastAsia="ru-RU"/>
              </w:rPr>
            </w:pPr>
            <w:r w:rsidRPr="00E33211">
              <w:rPr>
                <w:rFonts w:ascii="Arial Tat" w:eastAsia="Times New Roman" w:hAnsi="Arial Tat" w:cs="Times New Roman"/>
                <w:sz w:val="20"/>
                <w:szCs w:val="20"/>
                <w:lang w:eastAsia="ru-RU"/>
              </w:rPr>
              <w:t xml:space="preserve">С.А. Гоголева, ведущий </w:t>
            </w:r>
            <w:r w:rsidRPr="00E33211">
              <w:rPr>
                <w:rFonts w:ascii="Arial Tat" w:eastAsia="Times New Roman" w:hAnsi="Arial Tat" w:cs="Times New Roman"/>
                <w:sz w:val="20"/>
                <w:szCs w:val="20"/>
                <w:lang w:eastAsia="ru-RU"/>
              </w:rPr>
              <w:br/>
              <w:t xml:space="preserve">советник отдела правовой </w:t>
            </w:r>
            <w:r w:rsidRPr="00E33211">
              <w:rPr>
                <w:rFonts w:ascii="Arial Tat" w:eastAsia="Times New Roman" w:hAnsi="Arial Tat" w:cs="Times New Roman"/>
                <w:sz w:val="20"/>
                <w:szCs w:val="20"/>
                <w:lang w:eastAsia="ru-RU"/>
              </w:rPr>
              <w:br/>
              <w:t xml:space="preserve">и кадровой работы </w:t>
            </w:r>
            <w:r w:rsidRPr="00E33211">
              <w:rPr>
                <w:rFonts w:ascii="Arial Tat" w:eastAsia="Times New Roman" w:hAnsi="Arial Tat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33211">
              <w:rPr>
                <w:rFonts w:ascii="Arial Tat" w:eastAsia="Times New Roman" w:hAnsi="Arial Tat" w:cs="Times New Roman"/>
                <w:sz w:val="20"/>
                <w:szCs w:val="20"/>
                <w:lang w:eastAsia="ru-RU"/>
              </w:rPr>
              <w:t>Татглавархива</w:t>
            </w:r>
            <w:proofErr w:type="spellEnd"/>
            <w:r w:rsidRPr="00E33211">
              <w:rPr>
                <w:rFonts w:ascii="Arial Tat" w:eastAsia="Times New Roman" w:hAnsi="Arial Ta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E33211" w:rsidRPr="00E33211" w:rsidRDefault="00E33211" w:rsidP="000F4ACD">
      <w:pPr>
        <w:rPr>
          <w:szCs w:val="24"/>
        </w:rPr>
      </w:pPr>
    </w:p>
    <w:sectPr w:rsidR="00E33211" w:rsidRPr="00E33211" w:rsidSect="00E332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00004" w:csb1="00000000"/>
  </w:font>
  <w:font w:name="Arial T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hideGrammaticalErrors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F4385A"/>
    <w:rsid w:val="000C4364"/>
    <w:rsid w:val="000F4ACD"/>
    <w:rsid w:val="000F5D73"/>
    <w:rsid w:val="00100036"/>
    <w:rsid w:val="001622AF"/>
    <w:rsid w:val="00291EB4"/>
    <w:rsid w:val="003D793D"/>
    <w:rsid w:val="003F27B7"/>
    <w:rsid w:val="004C5843"/>
    <w:rsid w:val="00541206"/>
    <w:rsid w:val="005F769A"/>
    <w:rsid w:val="00725543"/>
    <w:rsid w:val="007338E7"/>
    <w:rsid w:val="00860E6B"/>
    <w:rsid w:val="00942422"/>
    <w:rsid w:val="00A94C69"/>
    <w:rsid w:val="00B34795"/>
    <w:rsid w:val="00B5688C"/>
    <w:rsid w:val="00BE224E"/>
    <w:rsid w:val="00BF3AAC"/>
    <w:rsid w:val="00C71EE0"/>
    <w:rsid w:val="00CD067B"/>
    <w:rsid w:val="00D83397"/>
    <w:rsid w:val="00E33211"/>
    <w:rsid w:val="00EA5254"/>
    <w:rsid w:val="00F4385A"/>
    <w:rsid w:val="00F55A39"/>
    <w:rsid w:val="00F71CE1"/>
    <w:rsid w:val="00FD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69"/>
  </w:style>
  <w:style w:type="paragraph" w:styleId="1">
    <w:name w:val="heading 1"/>
    <w:basedOn w:val="a"/>
    <w:link w:val="10"/>
    <w:uiPriority w:val="9"/>
    <w:qFormat/>
    <w:rsid w:val="00CD067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1br1">
    <w:name w:val="bt1br1"/>
    <w:basedOn w:val="a0"/>
    <w:rsid w:val="00F4385A"/>
    <w:rPr>
      <w:rFonts w:ascii="Times New Roman" w:hAnsi="Times New Roman" w:cs="Times New Roman" w:hint="default"/>
      <w:b/>
      <w:bCs/>
      <w:color w:val="B3672B"/>
      <w:sz w:val="36"/>
      <w:szCs w:val="36"/>
    </w:rPr>
  </w:style>
  <w:style w:type="character" w:styleId="a3">
    <w:name w:val="Strong"/>
    <w:basedOn w:val="a0"/>
    <w:uiPriority w:val="22"/>
    <w:qFormat/>
    <w:rsid w:val="00F4385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255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067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3D793D"/>
    <w:rPr>
      <w:color w:val="1C587F"/>
      <w:u w:val="single"/>
    </w:rPr>
  </w:style>
  <w:style w:type="character" w:styleId="a8">
    <w:name w:val="FollowedHyperlink"/>
    <w:basedOn w:val="a0"/>
    <w:uiPriority w:val="99"/>
    <w:semiHidden/>
    <w:unhideWhenUsed/>
    <w:rsid w:val="003D793D"/>
    <w:rPr>
      <w:color w:val="1C587F"/>
      <w:u w:val="single"/>
    </w:rPr>
  </w:style>
  <w:style w:type="paragraph" w:customStyle="1" w:styleId="w30p">
    <w:name w:val="w30p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w50p">
    <w:name w:val="w50p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w70p">
    <w:name w:val="w70p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w100p">
    <w:name w:val="w100p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w100pbr">
    <w:name w:val="w100pbr"/>
    <w:basedOn w:val="a"/>
    <w:rsid w:val="003D793D"/>
    <w:pPr>
      <w:shd w:val="clear" w:color="auto" w:fill="FCF1DA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t1br">
    <w:name w:val="bt1br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B3672B"/>
      <w:sz w:val="36"/>
      <w:szCs w:val="36"/>
      <w:lang w:eastAsia="ru-RU"/>
    </w:rPr>
  </w:style>
  <w:style w:type="paragraph" w:customStyle="1" w:styleId="bt3b">
    <w:name w:val="bt3b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161814"/>
      <w:sz w:val="20"/>
      <w:szCs w:val="20"/>
      <w:lang w:eastAsia="ru-RU"/>
    </w:rPr>
  </w:style>
  <w:style w:type="paragraph" w:customStyle="1" w:styleId="ubt3b">
    <w:name w:val="ubt3b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161814"/>
      <w:sz w:val="20"/>
      <w:szCs w:val="20"/>
      <w:u w:val="single"/>
      <w:lang w:eastAsia="ru-RU"/>
    </w:rPr>
  </w:style>
  <w:style w:type="paragraph" w:customStyle="1" w:styleId="bt3br">
    <w:name w:val="bt3br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B3672B"/>
      <w:sz w:val="20"/>
      <w:szCs w:val="20"/>
      <w:lang w:eastAsia="ru-RU"/>
    </w:rPr>
  </w:style>
  <w:style w:type="paragraph" w:customStyle="1" w:styleId="ubt3br">
    <w:name w:val="ubt3br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B3672B"/>
      <w:sz w:val="20"/>
      <w:szCs w:val="20"/>
      <w:u w:val="single"/>
      <w:lang w:eastAsia="ru-RU"/>
    </w:rPr>
  </w:style>
  <w:style w:type="paragraph" w:customStyle="1" w:styleId="ubt3y">
    <w:name w:val="ubt3y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AECD1"/>
      <w:sz w:val="20"/>
      <w:szCs w:val="20"/>
      <w:lang w:eastAsia="ru-RU"/>
    </w:rPr>
  </w:style>
  <w:style w:type="paragraph" w:customStyle="1" w:styleId="t4">
    <w:name w:val="t4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sz w:val="20"/>
      <w:szCs w:val="20"/>
      <w:lang w:eastAsia="ru-RU"/>
    </w:rPr>
  </w:style>
  <w:style w:type="paragraph" w:customStyle="1" w:styleId="t4b">
    <w:name w:val="t4b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color w:val="373F30"/>
      <w:sz w:val="20"/>
      <w:szCs w:val="20"/>
      <w:lang w:eastAsia="ru-RU"/>
    </w:rPr>
  </w:style>
  <w:style w:type="paragraph" w:customStyle="1" w:styleId="bt4b">
    <w:name w:val="bt4b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b/>
      <w:bCs/>
      <w:color w:val="373F30"/>
      <w:sz w:val="20"/>
      <w:szCs w:val="20"/>
      <w:lang w:eastAsia="ru-RU"/>
    </w:rPr>
  </w:style>
  <w:style w:type="paragraph" w:customStyle="1" w:styleId="it4b">
    <w:name w:val="it4b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i/>
      <w:iCs/>
      <w:color w:val="373F30"/>
      <w:sz w:val="20"/>
      <w:szCs w:val="20"/>
      <w:lang w:eastAsia="ru-RU"/>
    </w:rPr>
  </w:style>
  <w:style w:type="paragraph" w:customStyle="1" w:styleId="ut4b">
    <w:name w:val="ut4b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color w:val="373F30"/>
      <w:sz w:val="20"/>
      <w:szCs w:val="20"/>
      <w:u w:val="single"/>
      <w:lang w:eastAsia="ru-RU"/>
    </w:rPr>
  </w:style>
  <w:style w:type="paragraph" w:customStyle="1" w:styleId="ibt4b">
    <w:name w:val="ibt4b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b/>
      <w:bCs/>
      <w:i/>
      <w:iCs/>
      <w:color w:val="373F30"/>
      <w:sz w:val="20"/>
      <w:szCs w:val="20"/>
      <w:lang w:eastAsia="ru-RU"/>
    </w:rPr>
  </w:style>
  <w:style w:type="paragraph" w:customStyle="1" w:styleId="ubt4b">
    <w:name w:val="ubt4b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b/>
      <w:bCs/>
      <w:color w:val="373F30"/>
      <w:sz w:val="20"/>
      <w:szCs w:val="20"/>
      <w:u w:val="single"/>
      <w:lang w:eastAsia="ru-RU"/>
    </w:rPr>
  </w:style>
  <w:style w:type="paragraph" w:customStyle="1" w:styleId="t4w">
    <w:name w:val="t4w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color w:val="FFFFFF"/>
      <w:sz w:val="20"/>
      <w:szCs w:val="20"/>
      <w:lang w:eastAsia="ru-RU"/>
    </w:rPr>
  </w:style>
  <w:style w:type="paragraph" w:customStyle="1" w:styleId="bt4w">
    <w:name w:val="bt4w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b/>
      <w:bCs/>
      <w:color w:val="FFFFFF"/>
      <w:sz w:val="20"/>
      <w:szCs w:val="20"/>
      <w:lang w:eastAsia="ru-RU"/>
    </w:rPr>
  </w:style>
  <w:style w:type="paragraph" w:customStyle="1" w:styleId="ut4w">
    <w:name w:val="ut4w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color w:val="FFFFFF"/>
      <w:sz w:val="20"/>
      <w:szCs w:val="20"/>
      <w:u w:val="single"/>
      <w:lang w:eastAsia="ru-RU"/>
    </w:rPr>
  </w:style>
  <w:style w:type="paragraph" w:customStyle="1" w:styleId="ubt4w">
    <w:name w:val="ubt4w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b/>
      <w:bCs/>
      <w:color w:val="FFFFFF"/>
      <w:sz w:val="20"/>
      <w:szCs w:val="20"/>
      <w:u w:val="single"/>
      <w:lang w:eastAsia="ru-RU"/>
    </w:rPr>
  </w:style>
  <w:style w:type="paragraph" w:customStyle="1" w:styleId="t4g">
    <w:name w:val="t4g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color w:val="8C784F"/>
      <w:sz w:val="20"/>
      <w:szCs w:val="20"/>
      <w:lang w:eastAsia="ru-RU"/>
    </w:rPr>
  </w:style>
  <w:style w:type="paragraph" w:customStyle="1" w:styleId="ubt4br">
    <w:name w:val="ubt4br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b/>
      <w:bCs/>
      <w:color w:val="895635"/>
      <w:sz w:val="20"/>
      <w:szCs w:val="20"/>
      <w:u w:val="single"/>
      <w:lang w:eastAsia="ru-RU"/>
    </w:rPr>
  </w:style>
  <w:style w:type="paragraph" w:customStyle="1" w:styleId="t4r">
    <w:name w:val="t4r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color w:val="990000"/>
      <w:sz w:val="20"/>
      <w:szCs w:val="20"/>
      <w:lang w:eastAsia="ru-RU"/>
    </w:rPr>
  </w:style>
  <w:style w:type="paragraph" w:customStyle="1" w:styleId="bt4r">
    <w:name w:val="bt4r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b/>
      <w:bCs/>
      <w:color w:val="990000"/>
      <w:sz w:val="20"/>
      <w:szCs w:val="20"/>
      <w:lang w:eastAsia="ru-RU"/>
    </w:rPr>
  </w:style>
  <w:style w:type="paragraph" w:customStyle="1" w:styleId="t5">
    <w:name w:val="t5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sz w:val="15"/>
      <w:szCs w:val="15"/>
      <w:lang w:eastAsia="ru-RU"/>
    </w:rPr>
  </w:style>
  <w:style w:type="paragraph" w:customStyle="1" w:styleId="t5b">
    <w:name w:val="t5b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color w:val="000000"/>
      <w:sz w:val="15"/>
      <w:szCs w:val="15"/>
      <w:lang w:eastAsia="ru-RU"/>
    </w:rPr>
  </w:style>
  <w:style w:type="paragraph" w:customStyle="1" w:styleId="t5g">
    <w:name w:val="t5g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color w:val="888888"/>
      <w:sz w:val="15"/>
      <w:szCs w:val="15"/>
      <w:lang w:eastAsia="ru-RU"/>
    </w:rPr>
  </w:style>
  <w:style w:type="paragraph" w:customStyle="1" w:styleId="bg0">
    <w:name w:val="bg0"/>
    <w:basedOn w:val="a"/>
    <w:rsid w:val="003D793D"/>
    <w:pP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g1">
    <w:name w:val="bg1"/>
    <w:basedOn w:val="a"/>
    <w:rsid w:val="003D793D"/>
    <w:pPr>
      <w:shd w:val="clear" w:color="auto" w:fill="FCF1DA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g2">
    <w:name w:val="bg2"/>
    <w:basedOn w:val="a"/>
    <w:rsid w:val="003D793D"/>
    <w:pPr>
      <w:shd w:val="clear" w:color="auto" w:fill="2B81C8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g3">
    <w:name w:val="bg3"/>
    <w:basedOn w:val="a"/>
    <w:rsid w:val="003D793D"/>
    <w:pPr>
      <w:shd w:val="clear" w:color="auto" w:fill="D38D51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2014-05-13T08:12:00Z</dcterms:created>
  <dcterms:modified xsi:type="dcterms:W3CDTF">2014-05-13T08:21:00Z</dcterms:modified>
</cp:coreProperties>
</file>